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B0168" w14:textId="77777777" w:rsidR="006713E0" w:rsidRPr="00414260" w:rsidRDefault="006713E0" w:rsidP="00481556">
      <w:pPr>
        <w:pStyle w:val="Heading1"/>
        <w:spacing w:before="0"/>
        <w:rPr>
          <w:rFonts w:ascii="Cambria" w:hAnsi="Cambria" w:cs="Times New Roman"/>
          <w:b/>
          <w:bCs/>
          <w:color w:val="auto"/>
          <w:sz w:val="24"/>
          <w:szCs w:val="24"/>
        </w:rPr>
      </w:pPr>
    </w:p>
    <w:p w14:paraId="1C06B5BE" w14:textId="0688589D" w:rsidR="00BA3F18" w:rsidRPr="00414260" w:rsidRDefault="00BA3F18" w:rsidP="007567C3">
      <w:pPr>
        <w:pStyle w:val="Heading1"/>
        <w:spacing w:before="0"/>
        <w:jc w:val="center"/>
        <w:rPr>
          <w:rFonts w:ascii="Cambria" w:hAnsi="Cambria" w:cs="Times New Roman"/>
          <w:b/>
          <w:bCs/>
          <w:color w:val="auto"/>
          <w:sz w:val="24"/>
          <w:szCs w:val="24"/>
        </w:rPr>
      </w:pPr>
      <w:r w:rsidRPr="00414260">
        <w:rPr>
          <w:rFonts w:ascii="Cambria" w:hAnsi="Cambria" w:cs="Times New Roman"/>
          <w:b/>
          <w:bCs/>
          <w:color w:val="auto"/>
          <w:sz w:val="24"/>
          <w:szCs w:val="24"/>
        </w:rPr>
        <w:t>МЕТОДИКА ЗА ОЦЕНКА НА ОФЕРТИТЕ</w:t>
      </w:r>
    </w:p>
    <w:p w14:paraId="1BC0735A" w14:textId="77777777" w:rsidR="007567C3" w:rsidRPr="00414260" w:rsidRDefault="007567C3" w:rsidP="007567C3">
      <w:pPr>
        <w:rPr>
          <w:rFonts w:ascii="Cambria" w:hAnsi="Cambria"/>
          <w:szCs w:val="24"/>
        </w:rPr>
      </w:pPr>
    </w:p>
    <w:p w14:paraId="08C55C0D" w14:textId="0B71D8C7" w:rsidR="007567C3" w:rsidRPr="00414260" w:rsidRDefault="00CE1BEC" w:rsidP="007567C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  <w:u w:val="single"/>
        </w:rPr>
      </w:pPr>
      <w:bookmarkStart w:id="1" w:name="_Hlk131083884"/>
      <w:r w:rsidRPr="00414260">
        <w:rPr>
          <w:rFonts w:ascii="Cambria" w:hAnsi="Cambria"/>
          <w:szCs w:val="24"/>
          <w:u w:val="single"/>
        </w:rPr>
        <w:t>Техническото п</w:t>
      </w:r>
      <w:r w:rsidR="007567C3" w:rsidRPr="00414260">
        <w:rPr>
          <w:rFonts w:ascii="Cambria" w:hAnsi="Cambria"/>
          <w:szCs w:val="24"/>
          <w:u w:val="single"/>
        </w:rPr>
        <w:t>редложение на кандидата за изпълнение на поръчката следва да съдържа като минимум:</w:t>
      </w:r>
    </w:p>
    <w:p w14:paraId="2995F9E0" w14:textId="77777777" w:rsidR="00CE1BEC" w:rsidRPr="00414260" w:rsidRDefault="00CE1BEC" w:rsidP="007567C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</w:p>
    <w:p w14:paraId="2D65E3D1" w14:textId="17D8CBB2" w:rsidR="00985FA4" w:rsidRPr="006E0BFB" w:rsidRDefault="00985FA4" w:rsidP="006E0BF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/>
          <w:b/>
          <w:i/>
          <w:iCs/>
          <w:szCs w:val="24"/>
        </w:rPr>
      </w:pPr>
      <w:r w:rsidRPr="006E0BFB">
        <w:rPr>
          <w:rFonts w:ascii="Cambria" w:hAnsi="Cambria"/>
          <w:b/>
          <w:szCs w:val="24"/>
        </w:rPr>
        <w:t xml:space="preserve">Попълнено </w:t>
      </w:r>
      <w:r w:rsidRPr="006E0BFB">
        <w:rPr>
          <w:rFonts w:ascii="Cambria" w:hAnsi="Cambria"/>
          <w:b/>
          <w:i/>
          <w:iCs/>
          <w:szCs w:val="24"/>
        </w:rPr>
        <w:t>Приложение №1</w:t>
      </w:r>
      <w:r w:rsidRPr="006E0BFB">
        <w:rPr>
          <w:rFonts w:ascii="Cambria" w:hAnsi="Cambria"/>
          <w:b/>
          <w:szCs w:val="24"/>
        </w:rPr>
        <w:t xml:space="preserve"> </w:t>
      </w:r>
      <w:r w:rsidRPr="006E0BFB">
        <w:rPr>
          <w:rFonts w:ascii="Cambria" w:hAnsi="Cambria"/>
          <w:b/>
          <w:i/>
          <w:iCs/>
          <w:szCs w:val="24"/>
        </w:rPr>
        <w:t>- Оферта</w:t>
      </w:r>
    </w:p>
    <w:bookmarkEnd w:id="1"/>
    <w:p w14:paraId="3D01AEE3" w14:textId="049F1AE7" w:rsidR="007567C3" w:rsidRPr="00414260" w:rsidRDefault="007567C3" w:rsidP="007E5E6E">
      <w:pPr>
        <w:autoSpaceDE w:val="0"/>
        <w:autoSpaceDN w:val="0"/>
        <w:adjustRightInd w:val="0"/>
        <w:spacing w:line="288" w:lineRule="auto"/>
        <w:jc w:val="both"/>
        <w:rPr>
          <w:rFonts w:ascii="Cambria" w:hAnsi="Cambria"/>
          <w:szCs w:val="24"/>
        </w:rPr>
      </w:pPr>
    </w:p>
    <w:p w14:paraId="4E2E2978" w14:textId="20F937D0" w:rsidR="007567C3" w:rsidRPr="00414260" w:rsidRDefault="00916458" w:rsidP="007567C3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/>
          <w:b/>
          <w:bCs/>
          <w:szCs w:val="24"/>
        </w:rPr>
      </w:pPr>
      <w:r w:rsidRPr="00414260">
        <w:rPr>
          <w:rFonts w:ascii="Cambria" w:hAnsi="Cambria"/>
          <w:b/>
          <w:bCs/>
          <w:szCs w:val="24"/>
        </w:rPr>
        <w:t>Предварително проучване на офертните предложения</w:t>
      </w:r>
      <w:r w:rsidR="007567C3" w:rsidRPr="00414260">
        <w:rPr>
          <w:rFonts w:ascii="Cambria" w:hAnsi="Cambria"/>
          <w:b/>
          <w:bCs/>
          <w:szCs w:val="24"/>
        </w:rPr>
        <w:t>.</w:t>
      </w:r>
    </w:p>
    <w:p w14:paraId="09AD011C" w14:textId="1EECBCC9" w:rsidR="00916458" w:rsidRPr="00414260" w:rsidRDefault="00916458" w:rsidP="007567C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При предварителното проучване се проверява наличието на всички необходими документи за участие в процедурата, съгласно публичната покана. </w:t>
      </w:r>
    </w:p>
    <w:p w14:paraId="4FD71902" w14:textId="3856256B" w:rsidR="00916458" w:rsidRPr="00414260" w:rsidRDefault="00883A8F" w:rsidP="007567C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Възложителят</w:t>
      </w:r>
      <w:r w:rsidR="00916458" w:rsidRPr="00414260">
        <w:rPr>
          <w:rFonts w:ascii="Cambria" w:hAnsi="Cambria"/>
          <w:szCs w:val="24"/>
        </w:rPr>
        <w:t xml:space="preserve"> писмено уведомява кандидатите за липсващи документи или за констатираните </w:t>
      </w:r>
      <w:proofErr w:type="spellStart"/>
      <w:r w:rsidR="00916458" w:rsidRPr="00414260">
        <w:rPr>
          <w:rFonts w:ascii="Cambria" w:hAnsi="Cambria"/>
          <w:szCs w:val="24"/>
        </w:rPr>
        <w:t>нередовности</w:t>
      </w:r>
      <w:proofErr w:type="spellEnd"/>
      <w:r w:rsidR="00916458" w:rsidRPr="00414260">
        <w:rPr>
          <w:rFonts w:ascii="Cambria" w:hAnsi="Cambria"/>
          <w:szCs w:val="24"/>
        </w:rPr>
        <w:t xml:space="preserve">, посочва точно вида на документа или документите, които следва да се представят допълнително и определя срок за представянето им. Срокът е еднакъв за всички кандидати. </w:t>
      </w:r>
    </w:p>
    <w:p w14:paraId="540F75EB" w14:textId="7E085189" w:rsidR="00916458" w:rsidRPr="00414260" w:rsidRDefault="00916458" w:rsidP="007567C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Кандидат, който не отговаря на</w:t>
      </w:r>
      <w:r w:rsidR="009B2F00" w:rsidRPr="00414260">
        <w:rPr>
          <w:rFonts w:ascii="Cambria" w:hAnsi="Cambria"/>
          <w:szCs w:val="24"/>
        </w:rPr>
        <w:t xml:space="preserve"> </w:t>
      </w:r>
      <w:r w:rsidRPr="00414260">
        <w:rPr>
          <w:rFonts w:ascii="Cambria" w:hAnsi="Cambria"/>
          <w:szCs w:val="24"/>
        </w:rPr>
        <w:t xml:space="preserve">изискванията на Възложителя се отстранява от процедурата и подадената от него оферта не се оценява. </w:t>
      </w:r>
    </w:p>
    <w:p w14:paraId="3E76B79D" w14:textId="245D13FA" w:rsidR="00916458" w:rsidRPr="00414260" w:rsidRDefault="00916458" w:rsidP="007567C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До оценка се допускат всички кандидати, които отговарят на</w:t>
      </w:r>
      <w:r w:rsidR="009B2F00" w:rsidRPr="00414260">
        <w:rPr>
          <w:rFonts w:ascii="Cambria" w:hAnsi="Cambria"/>
          <w:szCs w:val="24"/>
        </w:rPr>
        <w:t xml:space="preserve"> посочените</w:t>
      </w:r>
      <w:r w:rsidRPr="00414260">
        <w:rPr>
          <w:rFonts w:ascii="Cambria" w:hAnsi="Cambria"/>
          <w:szCs w:val="24"/>
        </w:rPr>
        <w:t xml:space="preserve"> изисквания. </w:t>
      </w:r>
    </w:p>
    <w:p w14:paraId="546563D2" w14:textId="77777777" w:rsidR="007567C3" w:rsidRPr="00414260" w:rsidRDefault="007567C3" w:rsidP="007567C3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</w:p>
    <w:p w14:paraId="493B6372" w14:textId="1433DEF4" w:rsidR="00916458" w:rsidRPr="00414260" w:rsidRDefault="00916458" w:rsidP="00D40ABE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b/>
          <w:bCs/>
          <w:szCs w:val="24"/>
        </w:rPr>
      </w:pPr>
      <w:r w:rsidRPr="00414260">
        <w:rPr>
          <w:rFonts w:ascii="Cambria" w:hAnsi="Cambria"/>
          <w:b/>
          <w:bCs/>
          <w:szCs w:val="24"/>
        </w:rPr>
        <w:t xml:space="preserve">2. Критерий за оценка на офертите </w:t>
      </w:r>
      <w:r w:rsidR="00985FA4" w:rsidRPr="00414260">
        <w:rPr>
          <w:rFonts w:ascii="Cambria" w:hAnsi="Cambria"/>
          <w:b/>
          <w:bCs/>
          <w:szCs w:val="24"/>
        </w:rPr>
        <w:t>–</w:t>
      </w:r>
      <w:r w:rsidRPr="00414260">
        <w:rPr>
          <w:rFonts w:ascii="Cambria" w:hAnsi="Cambria"/>
          <w:b/>
          <w:bCs/>
          <w:szCs w:val="24"/>
        </w:rPr>
        <w:t xml:space="preserve"> </w:t>
      </w:r>
      <w:r w:rsidR="00BD6E49" w:rsidRPr="00414260">
        <w:rPr>
          <w:rFonts w:ascii="Cambria" w:hAnsi="Cambria"/>
          <w:b/>
          <w:bCs/>
          <w:szCs w:val="24"/>
        </w:rPr>
        <w:t>„Оптимално съотношение качество-цена”</w:t>
      </w:r>
    </w:p>
    <w:p w14:paraId="09327DE4" w14:textId="31D896C6" w:rsidR="00BD6E49" w:rsidRPr="00414260" w:rsidRDefault="00BD6E49" w:rsidP="00BD6E4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Всички оферти, които отговарят на обявените от Възложителя условия и бъдат допуснати до разглеждане, ще бъдат оценявани по критерия „Оптимално съотношение качество-цена”, където класирането се извършва на база получената от всяка оферта „Комплексна оценка” - (КО), като сума от индивидуалните оценки по предварително определените и описани по-долу показатели за определяне на комплексната оценка.</w:t>
      </w:r>
    </w:p>
    <w:p w14:paraId="0275B6FE" w14:textId="77777777" w:rsidR="00122F08" w:rsidRPr="00414260" w:rsidRDefault="00122F08" w:rsidP="00BD6E4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</w:p>
    <w:p w14:paraId="497FB24B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jc w:val="both"/>
        <w:rPr>
          <w:rFonts w:ascii="Cambria" w:hAnsi="Cambria"/>
          <w:b/>
          <w:bCs/>
          <w:szCs w:val="24"/>
        </w:rPr>
      </w:pPr>
      <w:r w:rsidRPr="00414260">
        <w:rPr>
          <w:rFonts w:ascii="Cambria" w:hAnsi="Cambria"/>
          <w:szCs w:val="24"/>
        </w:rPr>
        <w:tab/>
      </w:r>
      <w:r w:rsidRPr="00414260">
        <w:rPr>
          <w:rFonts w:ascii="Cambria" w:hAnsi="Cambria"/>
          <w:b/>
          <w:bCs/>
          <w:szCs w:val="24"/>
        </w:rPr>
        <w:t>3. Методика за определяне на комплексна оценка.</w:t>
      </w:r>
    </w:p>
    <w:p w14:paraId="42E7C2CF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3.1. Настоящата методика съдържа указания за определяне на комплексната оценка на всяка оферта, в т.ч. показателите, броя точки за всеки от тях при изчисляване на комплексната оценка, както и указания за определяне на оценката по всеки показател. </w:t>
      </w:r>
    </w:p>
    <w:p w14:paraId="502957B0" w14:textId="78F9EAAA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3.2 Оценителите прилагат методиката по отношение на офертите на кандидатите, които не са отстранени от участие в процедурата и които отговарят на обявените от възложителя изисквания. </w:t>
      </w:r>
    </w:p>
    <w:p w14:paraId="5D15E8A2" w14:textId="12CB040F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lastRenderedPageBreak/>
        <w:t xml:space="preserve">3.3. В случай, че кандидат представи офертно предложение, което не отговаря на изискванията на възложителя, посочени в Техническата спецификация, на действащото законодателство, се отстранява от участие и офертата му не се допуска до оценка и класиране. </w:t>
      </w:r>
    </w:p>
    <w:p w14:paraId="2C8A65B2" w14:textId="255E3A34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3.4. Изборът на критерий за оценка на офертите е съобразен с комплексния характер на предмета на настоящата процедура. При формулирането на критерия и показателите за оценка, Възложителят е изхождал от разбирането, че при процедури за подобно услуги, срокът в който изпълнителят организира и изпълнява своята работа демонстрира компетентността, опитът и ефективността на организацията като цяло. </w:t>
      </w:r>
    </w:p>
    <w:p w14:paraId="546C2525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3.5. Крайното класиране на допуснатите до оценка оферти се извършва в низходящ ред на база получената за всяка оферта комплексна оценка. Офертата, получила най-голям брой точки, се класира на първо място. </w:t>
      </w:r>
    </w:p>
    <w:p w14:paraId="53D9E138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3.6. Когато комплексните оценки на две или повече оферти са равни, с предимство се класира офертата с по-ниска предложена цена (Ц). </w:t>
      </w:r>
    </w:p>
    <w:p w14:paraId="68A206F2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3.7. Ако кандидатите не могат да бъдат класирани в съответствие с правилата по т. 3.5. и т. 3.6, комисията провежда публично жребий за определяне на изпълнител между класираните на първо място оферти. </w:t>
      </w:r>
    </w:p>
    <w:p w14:paraId="2AF15772" w14:textId="77777777" w:rsidR="00122F08" w:rsidRPr="00414260" w:rsidRDefault="00122F08" w:rsidP="00122F08">
      <w:pPr>
        <w:autoSpaceDE w:val="0"/>
        <w:autoSpaceDN w:val="0"/>
        <w:adjustRightInd w:val="0"/>
        <w:spacing w:after="120"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3.8. В случай че при прилагането на посочените формули, се получи дробно число, резултатите се закръгляват до втория знак след десетичната запетая.</w:t>
      </w:r>
    </w:p>
    <w:p w14:paraId="07B4689D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b/>
          <w:bCs/>
          <w:szCs w:val="24"/>
        </w:rPr>
        <w:t>4. Комплексна оценка</w:t>
      </w:r>
      <w:r w:rsidRPr="00414260">
        <w:rPr>
          <w:rFonts w:ascii="Cambria" w:hAnsi="Cambria"/>
          <w:szCs w:val="24"/>
        </w:rPr>
        <w:t>.</w:t>
      </w:r>
    </w:p>
    <w:p w14:paraId="2F1E0B5B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Комплексната оценка (КО) се определя на база следните показатели:</w:t>
      </w:r>
    </w:p>
    <w:p w14:paraId="2EA65E01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</w:p>
    <w:tbl>
      <w:tblPr>
        <w:tblW w:w="9092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3"/>
        <w:gridCol w:w="2126"/>
        <w:gridCol w:w="2693"/>
      </w:tblGrid>
      <w:tr w:rsidR="00122F08" w:rsidRPr="00414260" w14:paraId="156E2923" w14:textId="77777777" w:rsidTr="006A6F5A">
        <w:tc>
          <w:tcPr>
            <w:tcW w:w="4273" w:type="dxa"/>
            <w:shd w:val="clear" w:color="auto" w:fill="D9D9D9"/>
            <w:vAlign w:val="center"/>
            <w:hideMark/>
          </w:tcPr>
          <w:p w14:paraId="3F710BD4" w14:textId="77777777" w:rsidR="00122F08" w:rsidRPr="00414260" w:rsidRDefault="00122F08" w:rsidP="006A6F5A">
            <w:pPr>
              <w:pStyle w:val="Footer"/>
              <w:tabs>
                <w:tab w:val="left" w:pos="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>ПОКАЗАТЕЛИ</w:t>
            </w:r>
          </w:p>
          <w:p w14:paraId="6EDF9815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>(наименование и означение)</w:t>
            </w:r>
          </w:p>
        </w:tc>
        <w:tc>
          <w:tcPr>
            <w:tcW w:w="2126" w:type="dxa"/>
            <w:shd w:val="clear" w:color="auto" w:fill="D9D9D9"/>
            <w:vAlign w:val="center"/>
            <w:hideMark/>
          </w:tcPr>
          <w:p w14:paraId="12DA5631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>ОТНОСИТЕЛНО ТЕГЛО В КО</w:t>
            </w:r>
          </w:p>
        </w:tc>
        <w:tc>
          <w:tcPr>
            <w:tcW w:w="2693" w:type="dxa"/>
            <w:shd w:val="clear" w:color="auto" w:fill="D9D9D9"/>
            <w:vAlign w:val="center"/>
            <w:hideMark/>
          </w:tcPr>
          <w:p w14:paraId="5D295351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 xml:space="preserve">МАКСИМАЛНО ВЪЗМОЖЕН БРОЙ ТОЧКИ </w:t>
            </w:r>
          </w:p>
        </w:tc>
      </w:tr>
      <w:tr w:rsidR="00122F08" w:rsidRPr="00414260" w14:paraId="292DF533" w14:textId="77777777" w:rsidTr="006A6F5A">
        <w:tc>
          <w:tcPr>
            <w:tcW w:w="4273" w:type="dxa"/>
            <w:shd w:val="clear" w:color="auto" w:fill="D9D9D9"/>
            <w:vAlign w:val="center"/>
            <w:hideMark/>
          </w:tcPr>
          <w:p w14:paraId="3E2CEDF8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  <w:hideMark/>
          </w:tcPr>
          <w:p w14:paraId="5CB21D28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>2</w:t>
            </w:r>
          </w:p>
        </w:tc>
        <w:tc>
          <w:tcPr>
            <w:tcW w:w="2693" w:type="dxa"/>
            <w:shd w:val="clear" w:color="auto" w:fill="D9D9D9"/>
            <w:vAlign w:val="center"/>
            <w:hideMark/>
          </w:tcPr>
          <w:p w14:paraId="38156E1C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>3</w:t>
            </w:r>
          </w:p>
        </w:tc>
      </w:tr>
      <w:tr w:rsidR="00122F08" w:rsidRPr="00414260" w14:paraId="5E234C0C" w14:textId="77777777" w:rsidTr="006A6F5A">
        <w:tc>
          <w:tcPr>
            <w:tcW w:w="4273" w:type="dxa"/>
            <w:vAlign w:val="center"/>
            <w:hideMark/>
          </w:tcPr>
          <w:p w14:paraId="632474E0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 xml:space="preserve">А) </w:t>
            </w:r>
            <w:bookmarkStart w:id="2" w:name="_Hlk131088831"/>
            <w:r w:rsidRPr="00414260">
              <w:rPr>
                <w:rFonts w:ascii="Cambria" w:hAnsi="Cambria"/>
                <w:b/>
                <w:szCs w:val="24"/>
              </w:rPr>
              <w:t>Технически показател</w:t>
            </w:r>
            <w:bookmarkEnd w:id="2"/>
            <w:r w:rsidRPr="00414260">
              <w:rPr>
                <w:rFonts w:ascii="Cambria" w:hAnsi="Cambria"/>
                <w:b/>
                <w:szCs w:val="24"/>
              </w:rPr>
              <w:t>:</w:t>
            </w:r>
          </w:p>
        </w:tc>
        <w:tc>
          <w:tcPr>
            <w:tcW w:w="2126" w:type="dxa"/>
            <w:vAlign w:val="center"/>
          </w:tcPr>
          <w:p w14:paraId="08A49CEE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E250AFD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</w:p>
        </w:tc>
      </w:tr>
      <w:tr w:rsidR="00122F08" w:rsidRPr="00414260" w14:paraId="6FAA10E1" w14:textId="77777777" w:rsidTr="006A6F5A">
        <w:tc>
          <w:tcPr>
            <w:tcW w:w="4273" w:type="dxa"/>
            <w:vAlign w:val="center"/>
            <w:hideMark/>
          </w:tcPr>
          <w:p w14:paraId="0B2954C9" w14:textId="314D7451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rPr>
                <w:rFonts w:ascii="Cambria" w:hAnsi="Cambria"/>
                <w:bCs/>
                <w:szCs w:val="24"/>
              </w:rPr>
            </w:pPr>
            <w:r w:rsidRPr="00414260">
              <w:rPr>
                <w:rFonts w:ascii="Cambria" w:hAnsi="Cambria"/>
                <w:bCs/>
                <w:szCs w:val="24"/>
              </w:rPr>
              <w:t>Срок за изпълнение (СИ)</w:t>
            </w:r>
          </w:p>
        </w:tc>
        <w:tc>
          <w:tcPr>
            <w:tcW w:w="2126" w:type="dxa"/>
            <w:vAlign w:val="center"/>
            <w:hideMark/>
          </w:tcPr>
          <w:p w14:paraId="4BA65020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>50 %</w:t>
            </w:r>
          </w:p>
        </w:tc>
        <w:tc>
          <w:tcPr>
            <w:tcW w:w="2693" w:type="dxa"/>
            <w:vAlign w:val="center"/>
            <w:hideMark/>
          </w:tcPr>
          <w:p w14:paraId="465CC2CD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>100</w:t>
            </w:r>
          </w:p>
        </w:tc>
      </w:tr>
      <w:tr w:rsidR="00122F08" w:rsidRPr="00414260" w14:paraId="69B64768" w14:textId="77777777" w:rsidTr="006A6F5A">
        <w:tc>
          <w:tcPr>
            <w:tcW w:w="4273" w:type="dxa"/>
            <w:vAlign w:val="center"/>
            <w:hideMark/>
          </w:tcPr>
          <w:p w14:paraId="6A5682D8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rPr>
                <w:rFonts w:ascii="Cambria" w:hAnsi="Cambria"/>
                <w:szCs w:val="24"/>
              </w:rPr>
            </w:pPr>
            <w:r w:rsidRPr="00414260">
              <w:rPr>
                <w:rFonts w:ascii="Cambria" w:hAnsi="Cambria"/>
                <w:szCs w:val="24"/>
              </w:rPr>
              <w:t xml:space="preserve">Б) </w:t>
            </w:r>
            <w:bookmarkStart w:id="3" w:name="_Hlk131088870"/>
            <w:r w:rsidRPr="00414260">
              <w:rPr>
                <w:rFonts w:ascii="Cambria" w:hAnsi="Cambria"/>
                <w:b/>
                <w:bCs/>
                <w:szCs w:val="24"/>
              </w:rPr>
              <w:t>Финансов показател:</w:t>
            </w:r>
            <w:bookmarkEnd w:id="3"/>
          </w:p>
        </w:tc>
        <w:tc>
          <w:tcPr>
            <w:tcW w:w="2126" w:type="dxa"/>
            <w:vAlign w:val="center"/>
          </w:tcPr>
          <w:p w14:paraId="13E68318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D3FF568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</w:p>
        </w:tc>
      </w:tr>
      <w:tr w:rsidR="00122F08" w:rsidRPr="00414260" w14:paraId="6367848F" w14:textId="77777777" w:rsidTr="006A6F5A">
        <w:tc>
          <w:tcPr>
            <w:tcW w:w="4273" w:type="dxa"/>
            <w:vAlign w:val="center"/>
            <w:hideMark/>
          </w:tcPr>
          <w:p w14:paraId="10DE5C91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rPr>
                <w:rFonts w:ascii="Cambria" w:hAnsi="Cambria"/>
                <w:szCs w:val="24"/>
              </w:rPr>
            </w:pPr>
            <w:bookmarkStart w:id="4" w:name="_Hlk131004160"/>
            <w:r w:rsidRPr="00414260">
              <w:rPr>
                <w:rFonts w:ascii="Cambria" w:hAnsi="Cambria"/>
                <w:szCs w:val="24"/>
              </w:rPr>
              <w:t xml:space="preserve">Предложена цена </w:t>
            </w:r>
            <w:bookmarkEnd w:id="4"/>
            <w:r w:rsidRPr="00414260">
              <w:rPr>
                <w:rFonts w:ascii="Cambria" w:hAnsi="Cambria"/>
                <w:szCs w:val="24"/>
              </w:rPr>
              <w:t>(Ц)</w:t>
            </w:r>
          </w:p>
        </w:tc>
        <w:tc>
          <w:tcPr>
            <w:tcW w:w="2126" w:type="dxa"/>
            <w:vAlign w:val="center"/>
            <w:hideMark/>
          </w:tcPr>
          <w:p w14:paraId="3D91DCD9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 xml:space="preserve">50 % </w:t>
            </w:r>
          </w:p>
        </w:tc>
        <w:tc>
          <w:tcPr>
            <w:tcW w:w="2693" w:type="dxa"/>
            <w:vAlign w:val="center"/>
            <w:hideMark/>
          </w:tcPr>
          <w:p w14:paraId="1FD25730" w14:textId="77777777" w:rsidR="00122F08" w:rsidRPr="00414260" w:rsidRDefault="00122F08" w:rsidP="006A6F5A">
            <w:pPr>
              <w:pStyle w:val="Footer"/>
              <w:tabs>
                <w:tab w:val="left" w:pos="720"/>
              </w:tabs>
              <w:autoSpaceDE w:val="0"/>
              <w:snapToGrid w:val="0"/>
              <w:spacing w:line="256" w:lineRule="auto"/>
              <w:jc w:val="center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>100</w:t>
            </w:r>
          </w:p>
        </w:tc>
      </w:tr>
    </w:tbl>
    <w:p w14:paraId="15553DAA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jc w:val="both"/>
        <w:rPr>
          <w:rFonts w:ascii="Cambria" w:hAnsi="Cambria"/>
          <w:szCs w:val="24"/>
        </w:rPr>
      </w:pPr>
    </w:p>
    <w:p w14:paraId="022B62D3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Формулата, по която се изчислява комплексната оценка на n-тия кандидат, е: </w:t>
      </w:r>
    </w:p>
    <w:p w14:paraId="557AF7BE" w14:textId="7E017433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КО = СИ х 50% + Ц х 50%, където: </w:t>
      </w:r>
    </w:p>
    <w:p w14:paraId="697F0B9D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КО - комплексна оценка на офертата на кандидат </w:t>
      </w:r>
    </w:p>
    <w:p w14:paraId="49ED83D7" w14:textId="66232094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СИ – оценка на Срок за изпълнение на дейностите </w:t>
      </w:r>
    </w:p>
    <w:p w14:paraId="37E7A7F9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lastRenderedPageBreak/>
        <w:t xml:space="preserve">Ц - оценка на Предложената цена </w:t>
      </w:r>
    </w:p>
    <w:p w14:paraId="4D23BF44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Максимален брой точки след прилагане на формулата за комплексната оценка - 100.</w:t>
      </w:r>
    </w:p>
    <w:p w14:paraId="6F6D7C4D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</w:p>
    <w:p w14:paraId="564685B1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b/>
          <w:bCs/>
          <w:szCs w:val="24"/>
        </w:rPr>
        <w:t>4.1. Оценка по отделните показатели</w:t>
      </w:r>
      <w:r w:rsidRPr="00414260">
        <w:rPr>
          <w:rFonts w:ascii="Cambria" w:hAnsi="Cambria"/>
          <w:szCs w:val="24"/>
        </w:rPr>
        <w:t xml:space="preserve">. </w:t>
      </w:r>
    </w:p>
    <w:p w14:paraId="6A83AA8B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Оценките по горепосочените показатели се формират и определят по следния начин:</w:t>
      </w:r>
    </w:p>
    <w:p w14:paraId="58328F21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</w:p>
    <w:p w14:paraId="26A9CFC3" w14:textId="36ECF855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b/>
          <w:bCs/>
          <w:szCs w:val="24"/>
          <w:u w:val="single"/>
        </w:rPr>
      </w:pPr>
      <w:r w:rsidRPr="00414260">
        <w:rPr>
          <w:rFonts w:ascii="Cambria" w:hAnsi="Cambria"/>
          <w:b/>
          <w:bCs/>
          <w:szCs w:val="24"/>
          <w:u w:val="single"/>
        </w:rPr>
        <w:t>4.1.1. Оценка по Технически показател „Срок за изпълнение“ (СИ).</w:t>
      </w:r>
    </w:p>
    <w:p w14:paraId="5B943F75" w14:textId="7CD91619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А) ТЕХНИЧЕСКИ ПОКАЗАТЕЛ „</w:t>
      </w:r>
      <w:bookmarkStart w:id="5" w:name="_Hlk131088847"/>
      <w:r w:rsidRPr="00414260">
        <w:rPr>
          <w:rFonts w:ascii="Cambria" w:hAnsi="Cambria"/>
          <w:szCs w:val="24"/>
        </w:rPr>
        <w:t>Срок за изпълнение“ (СИ)</w:t>
      </w:r>
      <w:bookmarkEnd w:id="5"/>
      <w:r w:rsidRPr="00414260">
        <w:rPr>
          <w:rFonts w:ascii="Cambria" w:hAnsi="Cambria"/>
          <w:szCs w:val="24"/>
        </w:rPr>
        <w:t xml:space="preserve"> – Показателят „СИ“ представлява оценка на сроковете за изпълнение на договора, с които Кандидатът се ангажира. </w:t>
      </w:r>
    </w:p>
    <w:p w14:paraId="56AE6391" w14:textId="2920F2E4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 xml:space="preserve">Оценката по показател СИ се изчислява по следната формула: СИ = E1 + Е2 + Е3, като Е1, Е2 и Е3 са </w:t>
      </w:r>
      <w:proofErr w:type="spellStart"/>
      <w:r w:rsidRPr="00414260">
        <w:rPr>
          <w:rFonts w:ascii="Cambria" w:hAnsi="Cambria"/>
          <w:szCs w:val="24"/>
        </w:rPr>
        <w:t>подпоказателите</w:t>
      </w:r>
      <w:proofErr w:type="spellEnd"/>
      <w:r w:rsidRPr="00414260">
        <w:rPr>
          <w:rFonts w:ascii="Cambria" w:hAnsi="Cambria"/>
          <w:szCs w:val="24"/>
        </w:rPr>
        <w:t xml:space="preserve"> за оценка на продължителността на всеки етап на изпълнение, предложен от оценявания кандидат и посочен в таблицата по-долу. </w:t>
      </w:r>
    </w:p>
    <w:p w14:paraId="7B2E872A" w14:textId="478C1C78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Максималният брой точки по показател СИ е 100 точки.</w:t>
      </w:r>
    </w:p>
    <w:p w14:paraId="43046020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</w:p>
    <w:tbl>
      <w:tblPr>
        <w:tblStyle w:val="TableGrid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6096"/>
        <w:gridCol w:w="1559"/>
      </w:tblGrid>
      <w:tr w:rsidR="00122F08" w:rsidRPr="00414260" w14:paraId="4D9A5F2D" w14:textId="77777777" w:rsidTr="006A6F5A">
        <w:trPr>
          <w:trHeight w:val="94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8DDC" w14:textId="77777777" w:rsidR="00122F08" w:rsidRPr="00414260" w:rsidRDefault="00122F08" w:rsidP="006A6F5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bCs/>
                <w:i/>
                <w:szCs w:val="24"/>
              </w:rPr>
            </w:pPr>
            <w:bookmarkStart w:id="6" w:name="_Hlk131090303"/>
          </w:p>
          <w:p w14:paraId="0996E96C" w14:textId="6B74E57C" w:rsidR="00122F08" w:rsidRPr="00414260" w:rsidRDefault="0088388D" w:rsidP="006A6F5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bCs/>
                <w:i/>
                <w:szCs w:val="24"/>
              </w:rPr>
            </w:pPr>
            <w:r w:rsidRPr="00414260">
              <w:rPr>
                <w:rFonts w:ascii="Cambria" w:eastAsia="Calibri" w:hAnsi="Cambria"/>
                <w:b/>
                <w:bCs/>
                <w:i/>
                <w:szCs w:val="24"/>
              </w:rPr>
              <w:t>ЕТАП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860F" w14:textId="4FF1ABF6" w:rsidR="00122F08" w:rsidRPr="00414260" w:rsidRDefault="00122F08" w:rsidP="006A6F5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center"/>
              <w:rPr>
                <w:rFonts w:ascii="Cambria" w:eastAsia="Calibri" w:hAnsi="Cambria"/>
                <w:b/>
                <w:bCs/>
                <w:i/>
                <w:szCs w:val="24"/>
              </w:rPr>
            </w:pPr>
            <w:r w:rsidRPr="00414260">
              <w:rPr>
                <w:rFonts w:ascii="Cambria" w:eastAsia="Calibri" w:hAnsi="Cambria"/>
                <w:b/>
                <w:bCs/>
                <w:i/>
                <w:szCs w:val="24"/>
              </w:rPr>
              <w:t xml:space="preserve">Кандидатът е предложил </w:t>
            </w:r>
            <w:r w:rsidR="0088388D" w:rsidRPr="00414260">
              <w:rPr>
                <w:rFonts w:ascii="Cambria" w:eastAsia="Calibri" w:hAnsi="Cambria"/>
                <w:b/>
                <w:bCs/>
                <w:i/>
                <w:szCs w:val="24"/>
              </w:rPr>
              <w:t>следните срокове</w:t>
            </w:r>
            <w:r w:rsidRPr="00414260">
              <w:rPr>
                <w:rFonts w:ascii="Cambria" w:eastAsia="Calibri" w:hAnsi="Cambria"/>
                <w:b/>
                <w:bCs/>
                <w:i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4E5A3" w14:textId="77777777" w:rsidR="00122F08" w:rsidRPr="00414260" w:rsidRDefault="00122F08" w:rsidP="006A6F5A">
            <w:pPr>
              <w:tabs>
                <w:tab w:val="left" w:pos="1134"/>
              </w:tabs>
              <w:jc w:val="center"/>
              <w:rPr>
                <w:rFonts w:ascii="Cambria" w:eastAsia="Calibri" w:hAnsi="Cambria"/>
                <w:b/>
                <w:i/>
                <w:szCs w:val="24"/>
              </w:rPr>
            </w:pPr>
            <w:r w:rsidRPr="00414260">
              <w:rPr>
                <w:rFonts w:ascii="Cambria" w:eastAsia="Calibri" w:hAnsi="Cambria"/>
                <w:b/>
                <w:i/>
                <w:szCs w:val="24"/>
              </w:rPr>
              <w:t>Брой точки</w:t>
            </w:r>
          </w:p>
        </w:tc>
      </w:tr>
      <w:tr w:rsidR="00122F08" w:rsidRPr="00414260" w14:paraId="4F541615" w14:textId="77777777" w:rsidTr="006A6F5A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422DB2" w14:textId="1F8A1AB3" w:rsidR="00122F08" w:rsidRPr="00414260" w:rsidRDefault="0088388D" w:rsidP="006A6F5A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Cs w:val="24"/>
              </w:rPr>
            </w:pPr>
            <w:r w:rsidRPr="00414260">
              <w:rPr>
                <w:rFonts w:ascii="Cambria" w:hAnsi="Cambria"/>
                <w:b/>
                <w:szCs w:val="24"/>
              </w:rPr>
              <w:t>Етап 1 – изпълнение на дейности 1, 2 и 3 от ТС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C9D06" w14:textId="3CA364E6" w:rsidR="00122F08" w:rsidRPr="00414260" w:rsidRDefault="0088388D" w:rsidP="006A6F5A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iCs/>
                <w:szCs w:val="24"/>
              </w:rPr>
            </w:pPr>
            <w:r w:rsidRPr="00414260">
              <w:rPr>
                <w:rFonts w:ascii="Cambria" w:hAnsi="Cambria"/>
                <w:bCs/>
                <w:iCs/>
                <w:szCs w:val="24"/>
              </w:rPr>
              <w:t xml:space="preserve">Изпълнителят ще изпълни Етап 1 за 50 календарни дни от датата на получаване на </w:t>
            </w:r>
            <w:proofErr w:type="spellStart"/>
            <w:r w:rsidRPr="00414260">
              <w:rPr>
                <w:rFonts w:ascii="Cambria" w:hAnsi="Cambria"/>
                <w:bCs/>
                <w:iCs/>
                <w:szCs w:val="24"/>
              </w:rPr>
              <w:t>Възлагателно</w:t>
            </w:r>
            <w:proofErr w:type="spellEnd"/>
            <w:r w:rsidRPr="00414260">
              <w:rPr>
                <w:rFonts w:ascii="Cambria" w:hAnsi="Cambria"/>
                <w:bCs/>
                <w:iCs/>
                <w:szCs w:val="24"/>
              </w:rPr>
              <w:t xml:space="preserve"> писмо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EE56" w14:textId="77777777" w:rsidR="00122F08" w:rsidRPr="00414260" w:rsidRDefault="00122F08" w:rsidP="006A6F5A">
            <w:pPr>
              <w:spacing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414260">
              <w:rPr>
                <w:rFonts w:ascii="Cambria" w:eastAsia="Calibri" w:hAnsi="Cambria"/>
                <w:szCs w:val="24"/>
              </w:rPr>
              <w:t>10 точки</w:t>
            </w:r>
          </w:p>
        </w:tc>
      </w:tr>
      <w:tr w:rsidR="0088388D" w:rsidRPr="00414260" w14:paraId="2499E20B" w14:textId="77777777" w:rsidTr="006A6F5A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01059" w14:textId="77777777" w:rsidR="0088388D" w:rsidRPr="00414260" w:rsidRDefault="0088388D" w:rsidP="0088388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15AE" w14:textId="57ACDE7F" w:rsidR="0088388D" w:rsidRPr="00414260" w:rsidRDefault="0088388D" w:rsidP="0088388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414260">
              <w:rPr>
                <w:rFonts w:ascii="Cambria" w:hAnsi="Cambria"/>
                <w:bCs/>
                <w:iCs/>
                <w:szCs w:val="24"/>
              </w:rPr>
              <w:t xml:space="preserve">Изпълнителят ще изпълни </w:t>
            </w:r>
            <w:r w:rsidR="004D6668" w:rsidRPr="00414260">
              <w:rPr>
                <w:rFonts w:ascii="Cambria" w:hAnsi="Cambria"/>
                <w:bCs/>
                <w:iCs/>
                <w:szCs w:val="24"/>
              </w:rPr>
              <w:t xml:space="preserve">Етап 1 в срок </w:t>
            </w:r>
            <w:r w:rsidR="001F4AC0" w:rsidRPr="00414260">
              <w:rPr>
                <w:rFonts w:ascii="Cambria" w:hAnsi="Cambria"/>
                <w:bCs/>
                <w:iCs/>
                <w:szCs w:val="24"/>
              </w:rPr>
              <w:t>между</w:t>
            </w:r>
            <w:r w:rsidR="004D6668" w:rsidRPr="00414260">
              <w:rPr>
                <w:rFonts w:ascii="Cambria" w:hAnsi="Cambria"/>
                <w:bCs/>
                <w:iCs/>
                <w:szCs w:val="24"/>
              </w:rPr>
              <w:t xml:space="preserve"> 10</w:t>
            </w:r>
            <w:r w:rsidR="001F4AC0" w:rsidRPr="00414260">
              <w:rPr>
                <w:rFonts w:ascii="Cambria" w:hAnsi="Cambria"/>
                <w:bCs/>
                <w:iCs/>
                <w:szCs w:val="24"/>
              </w:rPr>
              <w:t xml:space="preserve"> и 20</w:t>
            </w:r>
            <w:r w:rsidR="004D6668" w:rsidRPr="00414260">
              <w:rPr>
                <w:rFonts w:ascii="Cambria" w:hAnsi="Cambria"/>
                <w:bCs/>
                <w:iCs/>
                <w:szCs w:val="24"/>
              </w:rPr>
              <w:t xml:space="preserve"> </w:t>
            </w:r>
            <w:r w:rsidR="001F4AC0" w:rsidRPr="00414260">
              <w:rPr>
                <w:rFonts w:ascii="Cambria" w:hAnsi="Cambria"/>
                <w:bCs/>
                <w:iCs/>
                <w:szCs w:val="24"/>
              </w:rPr>
              <w:t xml:space="preserve">календарни </w:t>
            </w:r>
            <w:r w:rsidR="004D6668" w:rsidRPr="00414260">
              <w:rPr>
                <w:rFonts w:ascii="Cambria" w:hAnsi="Cambria"/>
                <w:bCs/>
                <w:iCs/>
                <w:szCs w:val="24"/>
              </w:rPr>
              <w:t xml:space="preserve">дни </w:t>
            </w:r>
            <w:r w:rsidR="001F4AC0" w:rsidRPr="00414260">
              <w:rPr>
                <w:rFonts w:ascii="Cambria" w:hAnsi="Cambria"/>
                <w:bCs/>
                <w:iCs/>
                <w:szCs w:val="24"/>
              </w:rPr>
              <w:t>по-къс от максималните 50 календарни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648A" w14:textId="77777777" w:rsidR="0088388D" w:rsidRPr="00414260" w:rsidRDefault="0088388D" w:rsidP="0088388D">
            <w:pPr>
              <w:tabs>
                <w:tab w:val="left" w:pos="1134"/>
              </w:tabs>
              <w:spacing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414260">
              <w:rPr>
                <w:rFonts w:ascii="Cambria" w:eastAsia="Calibri" w:hAnsi="Cambria"/>
                <w:szCs w:val="24"/>
              </w:rPr>
              <w:t>20 точки</w:t>
            </w:r>
          </w:p>
        </w:tc>
      </w:tr>
      <w:tr w:rsidR="0088388D" w:rsidRPr="00414260" w14:paraId="55F638DF" w14:textId="77777777" w:rsidTr="006A6F5A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6A7" w14:textId="77777777" w:rsidR="0088388D" w:rsidRPr="00414260" w:rsidRDefault="0088388D" w:rsidP="0088388D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Cs w:val="24"/>
                <w:u w:val="single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986" w14:textId="6ECB7B0D" w:rsidR="0088388D" w:rsidRPr="00414260" w:rsidRDefault="001F4AC0" w:rsidP="0088388D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i/>
                <w:iCs/>
                <w:szCs w:val="24"/>
                <w:u w:val="single"/>
              </w:rPr>
            </w:pPr>
            <w:r w:rsidRPr="00414260">
              <w:rPr>
                <w:rFonts w:ascii="Cambria" w:hAnsi="Cambria"/>
                <w:bCs/>
                <w:iCs/>
                <w:szCs w:val="24"/>
              </w:rPr>
              <w:t>Изпълнителят ще изпълни Етап 1 в срок с 20 и повече дни по-къс от максималните 50 календарни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6FE3" w14:textId="77777777" w:rsidR="0088388D" w:rsidRPr="00414260" w:rsidRDefault="0088388D" w:rsidP="0088388D">
            <w:pPr>
              <w:tabs>
                <w:tab w:val="left" w:pos="1134"/>
              </w:tabs>
              <w:spacing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414260">
              <w:rPr>
                <w:rFonts w:ascii="Cambria" w:eastAsia="Calibri" w:hAnsi="Cambria"/>
                <w:szCs w:val="24"/>
              </w:rPr>
              <w:t>30 точки</w:t>
            </w:r>
          </w:p>
        </w:tc>
      </w:tr>
      <w:tr w:rsidR="004D6668" w:rsidRPr="00414260" w14:paraId="2288840A" w14:textId="77777777" w:rsidTr="006A6F5A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0A1F2" w14:textId="1EBA845F" w:rsidR="004D6668" w:rsidRPr="00414260" w:rsidRDefault="004D6668" w:rsidP="004D666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szCs w:val="24"/>
              </w:rPr>
            </w:pPr>
            <w:r w:rsidRPr="00414260">
              <w:rPr>
                <w:rFonts w:ascii="Cambria" w:eastAsia="Calibri" w:hAnsi="Cambria"/>
                <w:b/>
                <w:bCs/>
                <w:szCs w:val="24"/>
              </w:rPr>
              <w:t>Етап 2 – финализиране на ЕСМ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947C5" w14:textId="4CC97C8D" w:rsidR="004D6668" w:rsidRPr="00414260" w:rsidRDefault="004D6668" w:rsidP="004D666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i/>
                <w:szCs w:val="24"/>
              </w:rPr>
            </w:pPr>
            <w:r w:rsidRPr="00414260">
              <w:rPr>
                <w:rFonts w:ascii="Cambria" w:hAnsi="Cambria"/>
                <w:bCs/>
                <w:iCs/>
                <w:szCs w:val="24"/>
              </w:rPr>
              <w:t xml:space="preserve">Изпълнителят ще изпълни Етап 2 за 70 календарни дни от датата на </w:t>
            </w:r>
            <w:r w:rsidR="000A101B">
              <w:rPr>
                <w:rFonts w:ascii="Cambria" w:hAnsi="Cambria"/>
                <w:bCs/>
                <w:iCs/>
                <w:szCs w:val="24"/>
              </w:rPr>
              <w:t>приключване на етап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0876" w14:textId="2A220F50" w:rsidR="004D6668" w:rsidRPr="00414260" w:rsidRDefault="004D6668" w:rsidP="004D6668">
            <w:pPr>
              <w:spacing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414260">
              <w:rPr>
                <w:rFonts w:ascii="Cambria" w:eastAsia="Calibri" w:hAnsi="Cambria"/>
                <w:szCs w:val="24"/>
              </w:rPr>
              <w:t>10 точки</w:t>
            </w:r>
          </w:p>
        </w:tc>
      </w:tr>
      <w:tr w:rsidR="004D6668" w:rsidRPr="00414260" w14:paraId="162A5DAD" w14:textId="77777777" w:rsidTr="006A6F5A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E4022" w14:textId="77777777" w:rsidR="004D6668" w:rsidRPr="00414260" w:rsidRDefault="004D6668" w:rsidP="004D666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43A5" w14:textId="54738819" w:rsidR="004D6668" w:rsidRPr="00414260" w:rsidRDefault="004D6668" w:rsidP="004D666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szCs w:val="24"/>
              </w:rPr>
            </w:pPr>
            <w:r w:rsidRPr="00414260">
              <w:rPr>
                <w:rFonts w:ascii="Cambria" w:hAnsi="Cambria"/>
                <w:bCs/>
                <w:iCs/>
                <w:szCs w:val="24"/>
              </w:rPr>
              <w:t xml:space="preserve">Изпълнителят ще изпълни Етап 2 </w:t>
            </w:r>
            <w:r w:rsidR="001F4AC0" w:rsidRPr="00414260">
              <w:rPr>
                <w:rFonts w:ascii="Cambria" w:hAnsi="Cambria"/>
                <w:bCs/>
                <w:iCs/>
                <w:szCs w:val="24"/>
              </w:rPr>
              <w:t>в срок между 10 и 20 календарни дни по-къс от максималните 70 календарни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82F2" w14:textId="77B24301" w:rsidR="004D6668" w:rsidRPr="00414260" w:rsidRDefault="004D6668" w:rsidP="004D6668">
            <w:pPr>
              <w:tabs>
                <w:tab w:val="left" w:pos="1134"/>
              </w:tabs>
              <w:spacing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414260">
              <w:rPr>
                <w:rFonts w:ascii="Cambria" w:eastAsia="Calibri" w:hAnsi="Cambria"/>
                <w:szCs w:val="24"/>
              </w:rPr>
              <w:t>20 точки</w:t>
            </w:r>
          </w:p>
        </w:tc>
      </w:tr>
      <w:tr w:rsidR="004D6668" w:rsidRPr="00414260" w14:paraId="3E77106A" w14:textId="77777777" w:rsidTr="006A6F5A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6E91" w14:textId="77777777" w:rsidR="004D6668" w:rsidRPr="00414260" w:rsidRDefault="004D6668" w:rsidP="004D666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9DC5" w14:textId="6815756D" w:rsidR="004D6668" w:rsidRPr="00414260" w:rsidRDefault="001F4AC0" w:rsidP="004D666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/>
                <w:szCs w:val="24"/>
                <w:u w:val="single"/>
              </w:rPr>
            </w:pPr>
            <w:r w:rsidRPr="00414260">
              <w:rPr>
                <w:rFonts w:ascii="Cambria" w:hAnsi="Cambria"/>
                <w:bCs/>
                <w:iCs/>
                <w:szCs w:val="24"/>
              </w:rPr>
              <w:t>Изпълнителят ще изпълни Етап 2 в срок с 20 и повече дни по-къс от максималните 70 календарни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7A63" w14:textId="766B1073" w:rsidR="004D6668" w:rsidRPr="00414260" w:rsidRDefault="004D6668" w:rsidP="004D6668">
            <w:pPr>
              <w:tabs>
                <w:tab w:val="left" w:pos="1134"/>
              </w:tabs>
              <w:spacing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414260">
              <w:rPr>
                <w:rFonts w:ascii="Cambria" w:eastAsia="Calibri" w:hAnsi="Cambria"/>
                <w:szCs w:val="24"/>
              </w:rPr>
              <w:t>30 точки</w:t>
            </w:r>
          </w:p>
        </w:tc>
      </w:tr>
      <w:tr w:rsidR="004D6668" w:rsidRPr="00414260" w14:paraId="45357D2E" w14:textId="77777777" w:rsidTr="0088388D">
        <w:trPr>
          <w:trHeight w:val="40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D9449" w14:textId="14244EBA" w:rsidR="004D6668" w:rsidRPr="00414260" w:rsidRDefault="004D6668" w:rsidP="004D666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szCs w:val="24"/>
              </w:rPr>
            </w:pPr>
            <w:r w:rsidRPr="00414260">
              <w:rPr>
                <w:rFonts w:ascii="Cambria" w:eastAsia="Calibri" w:hAnsi="Cambria"/>
                <w:b/>
                <w:bCs/>
                <w:szCs w:val="24"/>
              </w:rPr>
              <w:t>Етап 3</w:t>
            </w:r>
            <w:r w:rsidR="00A63E77">
              <w:rPr>
                <w:rFonts w:ascii="Cambria" w:eastAsia="Calibri" w:hAnsi="Cambria"/>
                <w:b/>
                <w:bCs/>
                <w:szCs w:val="24"/>
              </w:rPr>
              <w:t xml:space="preserve"> – финален доклад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DF79" w14:textId="07041D2E" w:rsidR="004D6668" w:rsidRPr="00414260" w:rsidRDefault="004D6668" w:rsidP="004D6668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bCs/>
                <w:i/>
                <w:szCs w:val="24"/>
              </w:rPr>
            </w:pPr>
            <w:r w:rsidRPr="00414260">
              <w:rPr>
                <w:rFonts w:ascii="Cambria" w:hAnsi="Cambria"/>
                <w:bCs/>
                <w:iCs/>
                <w:szCs w:val="24"/>
              </w:rPr>
              <w:t xml:space="preserve">Изпълнителят ще изпълни Етап 3 за 65 календарни дни </w:t>
            </w:r>
            <w:r w:rsidR="000A101B" w:rsidRPr="00414260">
              <w:rPr>
                <w:rFonts w:ascii="Cambria" w:hAnsi="Cambria"/>
                <w:bCs/>
                <w:iCs/>
                <w:szCs w:val="24"/>
              </w:rPr>
              <w:t xml:space="preserve">от датата на </w:t>
            </w:r>
            <w:r w:rsidR="000A101B">
              <w:rPr>
                <w:rFonts w:ascii="Cambria" w:hAnsi="Cambria"/>
                <w:bCs/>
                <w:iCs/>
                <w:szCs w:val="24"/>
              </w:rPr>
              <w:t>приключване на етап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F38E" w14:textId="20F7EA39" w:rsidR="004D6668" w:rsidRPr="00414260" w:rsidRDefault="004D6668" w:rsidP="004D6668">
            <w:pPr>
              <w:spacing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414260">
              <w:rPr>
                <w:rFonts w:ascii="Cambria" w:eastAsia="Calibri" w:hAnsi="Cambria"/>
                <w:szCs w:val="24"/>
              </w:rPr>
              <w:t>20 точки</w:t>
            </w:r>
          </w:p>
        </w:tc>
      </w:tr>
      <w:tr w:rsidR="004D6668" w:rsidRPr="00414260" w14:paraId="461B73F9" w14:textId="77777777" w:rsidTr="006A6F5A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02B73" w14:textId="77777777" w:rsidR="004D6668" w:rsidRPr="00414260" w:rsidRDefault="004D6668" w:rsidP="004D666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972B" w14:textId="1CA62E34" w:rsidR="004D6668" w:rsidRPr="00414260" w:rsidRDefault="001F4AC0" w:rsidP="004D666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</w:rPr>
            </w:pPr>
            <w:r w:rsidRPr="00414260">
              <w:rPr>
                <w:rFonts w:ascii="Cambria" w:hAnsi="Cambria"/>
                <w:bCs/>
                <w:iCs/>
                <w:szCs w:val="24"/>
              </w:rPr>
              <w:t xml:space="preserve">Изпълнителят ще изпълни Етап 3 в срок между 10 и 20 календарни дни по-къс от максималните 65 </w:t>
            </w:r>
            <w:r w:rsidRPr="00414260">
              <w:rPr>
                <w:rFonts w:ascii="Cambria" w:hAnsi="Cambria"/>
                <w:bCs/>
                <w:iCs/>
                <w:szCs w:val="24"/>
              </w:rPr>
              <w:lastRenderedPageBreak/>
              <w:t>календарни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1FFD6" w14:textId="77777777" w:rsidR="004D6668" w:rsidRPr="00414260" w:rsidRDefault="004D6668" w:rsidP="004D6668">
            <w:pPr>
              <w:tabs>
                <w:tab w:val="left" w:pos="1134"/>
              </w:tabs>
              <w:spacing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414260">
              <w:rPr>
                <w:rFonts w:ascii="Cambria" w:eastAsia="Calibri" w:hAnsi="Cambria"/>
                <w:szCs w:val="24"/>
              </w:rPr>
              <w:lastRenderedPageBreak/>
              <w:t>30 точки</w:t>
            </w:r>
          </w:p>
          <w:p w14:paraId="293735E6" w14:textId="61E16379" w:rsidR="004D6668" w:rsidRPr="00414260" w:rsidRDefault="004D6668" w:rsidP="004D6668">
            <w:pPr>
              <w:tabs>
                <w:tab w:val="left" w:pos="1134"/>
              </w:tabs>
              <w:spacing w:line="276" w:lineRule="auto"/>
              <w:jc w:val="center"/>
              <w:rPr>
                <w:rFonts w:ascii="Cambria" w:eastAsia="Calibri" w:hAnsi="Cambria"/>
                <w:szCs w:val="24"/>
              </w:rPr>
            </w:pPr>
          </w:p>
        </w:tc>
      </w:tr>
      <w:tr w:rsidR="004D6668" w:rsidRPr="00414260" w14:paraId="68C7E657" w14:textId="77777777" w:rsidTr="006A6F5A">
        <w:trPr>
          <w:trHeight w:val="406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2DF" w14:textId="77777777" w:rsidR="004D6668" w:rsidRPr="00414260" w:rsidRDefault="004D6668" w:rsidP="004D666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b/>
                <w:bCs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F92" w14:textId="29B510B6" w:rsidR="004D6668" w:rsidRPr="00414260" w:rsidRDefault="001F4AC0" w:rsidP="004D6668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Cambria" w:eastAsia="Calibri" w:hAnsi="Cambria"/>
                <w:szCs w:val="24"/>
              </w:rPr>
            </w:pPr>
            <w:r w:rsidRPr="00414260">
              <w:rPr>
                <w:rFonts w:ascii="Cambria" w:hAnsi="Cambria"/>
                <w:bCs/>
                <w:iCs/>
                <w:szCs w:val="24"/>
              </w:rPr>
              <w:t>Изпълнителят ще изпълни Етап 3 в срок с 20 и повече дни по-къс от максималните 65 календарни дни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4DCD3F" w14:textId="65DCC405" w:rsidR="004D6668" w:rsidRPr="00414260" w:rsidRDefault="004D6668" w:rsidP="004D6668">
            <w:pPr>
              <w:tabs>
                <w:tab w:val="left" w:pos="1134"/>
              </w:tabs>
              <w:spacing w:line="276" w:lineRule="auto"/>
              <w:jc w:val="center"/>
              <w:rPr>
                <w:rFonts w:ascii="Cambria" w:eastAsia="Calibri" w:hAnsi="Cambria"/>
                <w:szCs w:val="24"/>
              </w:rPr>
            </w:pPr>
            <w:r w:rsidRPr="00414260">
              <w:rPr>
                <w:rFonts w:ascii="Cambria" w:eastAsia="Calibri" w:hAnsi="Cambria"/>
                <w:szCs w:val="24"/>
              </w:rPr>
              <w:t>40 точки</w:t>
            </w:r>
          </w:p>
        </w:tc>
      </w:tr>
      <w:bookmarkEnd w:id="6"/>
    </w:tbl>
    <w:p w14:paraId="57DC8C7E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b/>
          <w:bCs/>
          <w:szCs w:val="24"/>
          <w:u w:val="single"/>
        </w:rPr>
      </w:pPr>
    </w:p>
    <w:p w14:paraId="4306A566" w14:textId="3DAC65FF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b/>
          <w:bCs/>
          <w:szCs w:val="24"/>
          <w:u w:val="single"/>
        </w:rPr>
      </w:pPr>
      <w:r w:rsidRPr="00414260">
        <w:rPr>
          <w:rFonts w:ascii="Cambria" w:hAnsi="Cambria"/>
          <w:b/>
          <w:bCs/>
          <w:szCs w:val="24"/>
          <w:u w:val="single"/>
        </w:rPr>
        <w:t xml:space="preserve">Кандидат, който е предложил </w:t>
      </w:r>
      <w:r w:rsidR="004D6668" w:rsidRPr="00414260">
        <w:rPr>
          <w:rFonts w:ascii="Cambria" w:hAnsi="Cambria"/>
          <w:b/>
          <w:bCs/>
          <w:szCs w:val="24"/>
          <w:u w:val="single"/>
        </w:rPr>
        <w:t>срок на</w:t>
      </w:r>
      <w:r w:rsidRPr="00414260">
        <w:rPr>
          <w:rFonts w:ascii="Cambria" w:hAnsi="Cambria"/>
          <w:b/>
          <w:bCs/>
          <w:szCs w:val="24"/>
          <w:u w:val="single"/>
        </w:rPr>
        <w:t xml:space="preserve"> изпълнение, който не отговаря на критериите за присъждане на минимален брой точки</w:t>
      </w:r>
      <w:r w:rsidR="004D6668" w:rsidRPr="00414260">
        <w:rPr>
          <w:rFonts w:ascii="Cambria" w:hAnsi="Cambria"/>
          <w:b/>
          <w:bCs/>
          <w:szCs w:val="24"/>
          <w:u w:val="single"/>
        </w:rPr>
        <w:t>,</w:t>
      </w:r>
      <w:r w:rsidRPr="00414260">
        <w:rPr>
          <w:rFonts w:ascii="Cambria" w:hAnsi="Cambria"/>
          <w:b/>
          <w:bCs/>
          <w:szCs w:val="24"/>
          <w:u w:val="single"/>
        </w:rPr>
        <w:t xml:space="preserve"> се предлага за отстраняване от участие.</w:t>
      </w:r>
    </w:p>
    <w:p w14:paraId="71041BE9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b/>
          <w:bCs/>
          <w:szCs w:val="24"/>
          <w:u w:val="single"/>
        </w:rPr>
      </w:pPr>
    </w:p>
    <w:p w14:paraId="45AF9C06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b/>
          <w:bCs/>
          <w:szCs w:val="24"/>
          <w:u w:val="single"/>
        </w:rPr>
      </w:pPr>
      <w:bookmarkStart w:id="7" w:name="_Hlk131088771"/>
      <w:r w:rsidRPr="00414260">
        <w:rPr>
          <w:rFonts w:ascii="Cambria" w:hAnsi="Cambria"/>
          <w:b/>
          <w:bCs/>
          <w:szCs w:val="24"/>
          <w:u w:val="single"/>
        </w:rPr>
        <w:t>4.1.2. Оценка по Финансов показател</w:t>
      </w:r>
      <w:bookmarkStart w:id="8" w:name="_Hlk131088900"/>
      <w:r w:rsidRPr="00414260">
        <w:rPr>
          <w:rFonts w:ascii="Cambria" w:hAnsi="Cambria"/>
          <w:b/>
          <w:bCs/>
          <w:szCs w:val="24"/>
          <w:u w:val="single"/>
        </w:rPr>
        <w:t xml:space="preserve"> Предложена цена </w:t>
      </w:r>
      <w:bookmarkEnd w:id="8"/>
      <w:r w:rsidRPr="00414260">
        <w:rPr>
          <w:rFonts w:ascii="Cambria" w:hAnsi="Cambria"/>
          <w:b/>
          <w:bCs/>
          <w:szCs w:val="24"/>
          <w:u w:val="single"/>
        </w:rPr>
        <w:t>(Ц)</w:t>
      </w:r>
      <w:bookmarkEnd w:id="7"/>
    </w:p>
    <w:p w14:paraId="7D017F0C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Б) ФИНАНСОВ ПОКАЗАТЕЛ Предложена цена (Ц) – Оценява се предложена от кандидата крайна цена за изпълнение на поръчката. Максимално възможната оценка е 100 точки, като оценката по показателя се изчислява по формулата: Ц = (</w:t>
      </w:r>
      <w:proofErr w:type="spellStart"/>
      <w:r w:rsidRPr="00414260">
        <w:rPr>
          <w:rFonts w:ascii="Cambria" w:hAnsi="Cambria"/>
          <w:szCs w:val="24"/>
        </w:rPr>
        <w:t>Цmin</w:t>
      </w:r>
      <w:proofErr w:type="spellEnd"/>
      <w:r w:rsidRPr="00414260">
        <w:rPr>
          <w:rFonts w:ascii="Cambria" w:hAnsi="Cambria"/>
          <w:szCs w:val="24"/>
        </w:rPr>
        <w:t xml:space="preserve"> / </w:t>
      </w:r>
      <w:proofErr w:type="spellStart"/>
      <w:r w:rsidRPr="00414260">
        <w:rPr>
          <w:rFonts w:ascii="Cambria" w:hAnsi="Cambria"/>
          <w:szCs w:val="24"/>
        </w:rPr>
        <w:t>Цi</w:t>
      </w:r>
      <w:proofErr w:type="spellEnd"/>
      <w:r w:rsidRPr="00414260">
        <w:rPr>
          <w:rFonts w:ascii="Cambria" w:hAnsi="Cambria"/>
          <w:szCs w:val="24"/>
        </w:rPr>
        <w:t>) х 100, където:</w:t>
      </w:r>
    </w:p>
    <w:p w14:paraId="3D73ECA4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proofErr w:type="spellStart"/>
      <w:r w:rsidRPr="00414260">
        <w:rPr>
          <w:rFonts w:ascii="Cambria" w:hAnsi="Cambria"/>
          <w:szCs w:val="24"/>
        </w:rPr>
        <w:t>Цmin</w:t>
      </w:r>
      <w:proofErr w:type="spellEnd"/>
      <w:r w:rsidRPr="00414260">
        <w:rPr>
          <w:rFonts w:ascii="Cambria" w:hAnsi="Cambria"/>
          <w:szCs w:val="24"/>
        </w:rPr>
        <w:t xml:space="preserve"> е най-ниската предложена от кандидат цена за изпълнение на поръчката;</w:t>
      </w:r>
    </w:p>
    <w:p w14:paraId="234A1E08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proofErr w:type="spellStart"/>
      <w:r w:rsidRPr="00414260">
        <w:rPr>
          <w:rFonts w:ascii="Cambria" w:hAnsi="Cambria"/>
          <w:szCs w:val="24"/>
        </w:rPr>
        <w:t>Цi</w:t>
      </w:r>
      <w:proofErr w:type="spellEnd"/>
      <w:r w:rsidRPr="00414260">
        <w:rPr>
          <w:rFonts w:ascii="Cambria" w:hAnsi="Cambria"/>
          <w:szCs w:val="24"/>
        </w:rPr>
        <w:t xml:space="preserve"> е предложената от кандидат(i) цена за изпълнение.</w:t>
      </w:r>
    </w:p>
    <w:p w14:paraId="6D6ED333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От участие в процедурата ще се отстранява кандидат, предложил цена за изпълнение на поръчката, която е по-висока от определената максимална прогнозна стойност.</w:t>
      </w:r>
    </w:p>
    <w:p w14:paraId="4FA93181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</w:p>
    <w:p w14:paraId="28DD03F2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Класирането на офертите се извършва по низходящ ред на получената комплексна оценка, като на първо място се класира офертата с най-висока оценка. На първо място се класира кандидатът, получил най-висока Комплексна оценка /KO/.</w:t>
      </w:r>
    </w:p>
    <w:p w14:paraId="41ED2BD6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Финансовите предложения се проверяват, за да се установи, че са подготвени и представени в съответствие с изискванията на документацията за участие в процедурата.</w:t>
      </w:r>
    </w:p>
    <w:p w14:paraId="42B7912D" w14:textId="77777777" w:rsidR="00122F08" w:rsidRPr="00414260" w:rsidRDefault="00122F08" w:rsidP="00122F08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  <w:r w:rsidRPr="00414260">
        <w:rPr>
          <w:rFonts w:ascii="Cambria" w:hAnsi="Cambria"/>
          <w:szCs w:val="24"/>
        </w:rPr>
        <w:t>При разлика между сумите изразени с цифри и думи, за вярно се приема словесното изражение на сумата.</w:t>
      </w:r>
    </w:p>
    <w:p w14:paraId="607DC1F6" w14:textId="76C1F074" w:rsidR="00CC1B0E" w:rsidRPr="00414260" w:rsidRDefault="00CC1B0E" w:rsidP="00BD6E49">
      <w:pPr>
        <w:autoSpaceDE w:val="0"/>
        <w:autoSpaceDN w:val="0"/>
        <w:adjustRightInd w:val="0"/>
        <w:spacing w:line="288" w:lineRule="auto"/>
        <w:ind w:firstLine="708"/>
        <w:jc w:val="both"/>
        <w:rPr>
          <w:rFonts w:ascii="Cambria" w:hAnsi="Cambria"/>
          <w:szCs w:val="24"/>
        </w:rPr>
      </w:pPr>
    </w:p>
    <w:sectPr w:rsidR="00CC1B0E" w:rsidRPr="00414260" w:rsidSect="00945ED7">
      <w:headerReference w:type="default" r:id="rId7"/>
      <w:footerReference w:type="default" r:id="rId8"/>
      <w:pgSz w:w="11906" w:h="16838"/>
      <w:pgMar w:top="1440" w:right="1440" w:bottom="2127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CEC35" w14:textId="77777777" w:rsidR="00037F17" w:rsidRDefault="00037F17" w:rsidP="009C5811">
      <w:r>
        <w:separator/>
      </w:r>
    </w:p>
  </w:endnote>
  <w:endnote w:type="continuationSeparator" w:id="0">
    <w:p w14:paraId="14C9796B" w14:textId="77777777" w:rsidR="00037F17" w:rsidRDefault="00037F17" w:rsidP="009C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23423" w:rsidRPr="00246D95" w14:paraId="05A688AD" w14:textId="77777777" w:rsidTr="0092146F">
      <w:trPr>
        <w:trHeight w:val="300"/>
      </w:trPr>
      <w:tc>
        <w:tcPr>
          <w:tcW w:w="3005" w:type="dxa"/>
        </w:tcPr>
        <w:p w14:paraId="49A58D34" w14:textId="77777777" w:rsidR="00023423" w:rsidRPr="00246D95" w:rsidRDefault="00023423" w:rsidP="00023423">
          <w:pPr>
            <w:pStyle w:val="Header"/>
            <w:ind w:left="-115"/>
            <w:rPr>
              <w:rFonts w:ascii="Tahoma" w:hAnsi="Tahoma" w:cs="Tahoma"/>
              <w:b/>
              <w:bCs/>
            </w:rPr>
          </w:pPr>
          <w:r w:rsidRPr="00246D95">
            <w:rPr>
              <w:rFonts w:ascii="Tahoma" w:hAnsi="Tahoma" w:cs="Tahoma"/>
              <w:b/>
              <w:bCs/>
            </w:rPr>
            <w:t>EENOVA Project</w:t>
          </w:r>
        </w:p>
      </w:tc>
      <w:tc>
        <w:tcPr>
          <w:tcW w:w="3005" w:type="dxa"/>
        </w:tcPr>
        <w:p w14:paraId="6F26EC30" w14:textId="77777777" w:rsidR="00023423" w:rsidRPr="00246D95" w:rsidRDefault="00023423" w:rsidP="00023423">
          <w:pPr>
            <w:pStyle w:val="Header"/>
            <w:jc w:val="center"/>
            <w:rPr>
              <w:rFonts w:ascii="Tahoma" w:hAnsi="Tahoma" w:cs="Tahoma"/>
              <w:b/>
              <w:bCs/>
            </w:rPr>
          </w:pPr>
        </w:p>
      </w:tc>
      <w:tc>
        <w:tcPr>
          <w:tcW w:w="3005" w:type="dxa"/>
        </w:tcPr>
        <w:p w14:paraId="433FE7A5" w14:textId="77777777" w:rsidR="00023423" w:rsidRPr="00246D95" w:rsidRDefault="00023423" w:rsidP="00023423">
          <w:pPr>
            <w:pStyle w:val="Header"/>
            <w:ind w:right="-115"/>
            <w:jc w:val="right"/>
            <w:rPr>
              <w:rFonts w:ascii="Tahoma" w:eastAsiaTheme="minorEastAsia" w:hAnsi="Tahoma" w:cs="Tahoma"/>
              <w:b/>
              <w:bCs/>
              <w:color w:val="1A1918"/>
              <w:sz w:val="20"/>
            </w:rPr>
          </w:pPr>
          <w:r w:rsidRPr="00246D95">
            <w:rPr>
              <w:rFonts w:ascii="Tahoma" w:eastAsiaTheme="minorEastAsia" w:hAnsi="Tahoma" w:cs="Tahoma"/>
              <w:b/>
              <w:bCs/>
              <w:color w:val="1A1918"/>
              <w:sz w:val="20"/>
            </w:rPr>
            <w:t>101119476</w:t>
          </w:r>
        </w:p>
      </w:tc>
    </w:tr>
  </w:tbl>
  <w:p w14:paraId="523F3F5D" w14:textId="69AFAAB3" w:rsidR="00076647" w:rsidRPr="00023423" w:rsidRDefault="00076647" w:rsidP="000234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5924E" w14:textId="77777777" w:rsidR="00037F17" w:rsidRDefault="00037F17" w:rsidP="009C5811">
      <w:bookmarkStart w:id="0" w:name="_Hlk66806334"/>
      <w:bookmarkEnd w:id="0"/>
      <w:r>
        <w:separator/>
      </w:r>
    </w:p>
  </w:footnote>
  <w:footnote w:type="continuationSeparator" w:id="0">
    <w:p w14:paraId="4B7368D3" w14:textId="77777777" w:rsidR="00037F17" w:rsidRDefault="00037F17" w:rsidP="009C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023423" w14:paraId="59E68534" w14:textId="77777777" w:rsidTr="0092146F">
      <w:trPr>
        <w:trHeight w:val="300"/>
      </w:trPr>
      <w:tc>
        <w:tcPr>
          <w:tcW w:w="3005" w:type="dxa"/>
        </w:tcPr>
        <w:p w14:paraId="4B8ED26F" w14:textId="77777777" w:rsidR="00023423" w:rsidRDefault="00023423" w:rsidP="00023423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4A867AB" wp14:editId="4B9DBB73">
                <wp:extent cx="867326" cy="847725"/>
                <wp:effectExtent l="0" t="0" r="0" b="0"/>
                <wp:docPr id="784394982" name="Grafik 784394982" descr="A circular design with many dot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4394982" name="Grafik 784394982" descr="A circular design with many dots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7326" cy="847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12BD9CB" w14:textId="77777777" w:rsidR="00023423" w:rsidRDefault="00023423" w:rsidP="00023423">
          <w:pPr>
            <w:pStyle w:val="Header"/>
            <w:jc w:val="center"/>
          </w:pPr>
        </w:p>
      </w:tc>
      <w:tc>
        <w:tcPr>
          <w:tcW w:w="3005" w:type="dxa"/>
        </w:tcPr>
        <w:p w14:paraId="4A4F290C" w14:textId="77777777" w:rsidR="00023423" w:rsidRDefault="00023423" w:rsidP="00023423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7D2D0AAF" wp14:editId="43FFC898">
                <wp:extent cx="1762125" cy="476250"/>
                <wp:effectExtent l="0" t="0" r="0" b="0"/>
                <wp:docPr id="1831669478" name="Grafik 1831669478" descr="A close-up of a sig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31669478" name="Grafik 1831669478" descr="A close-up of a sig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A3490C5" w14:textId="77777777" w:rsidR="006E0AE9" w:rsidRPr="00023423" w:rsidRDefault="006E0AE9" w:rsidP="000234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0D96"/>
    <w:multiLevelType w:val="multilevel"/>
    <w:tmpl w:val="C7FCC5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428415B"/>
    <w:multiLevelType w:val="hybridMultilevel"/>
    <w:tmpl w:val="6662192C"/>
    <w:lvl w:ilvl="0" w:tplc="0A140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244AA"/>
    <w:multiLevelType w:val="hybridMultilevel"/>
    <w:tmpl w:val="B392727E"/>
    <w:lvl w:ilvl="0" w:tplc="6AA4AF1E">
      <w:start w:val="1"/>
      <w:numFmt w:val="bullet"/>
      <w:lvlText w:val="-"/>
      <w:lvlJc w:val="left"/>
      <w:pPr>
        <w:ind w:left="1116" w:hanging="360"/>
      </w:pPr>
      <w:rPr>
        <w:rFonts w:ascii="Cambria" w:eastAsia="Times New Roman" w:hAnsi="Cambria" w:cs="Times New Roman"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269E36D2"/>
    <w:multiLevelType w:val="hybridMultilevel"/>
    <w:tmpl w:val="2778A9A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769EC"/>
    <w:multiLevelType w:val="multilevel"/>
    <w:tmpl w:val="B2F4BE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3765508"/>
    <w:multiLevelType w:val="hybridMultilevel"/>
    <w:tmpl w:val="AD2266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C3B6C"/>
    <w:multiLevelType w:val="hybridMultilevel"/>
    <w:tmpl w:val="07C8D2E0"/>
    <w:lvl w:ilvl="0" w:tplc="627207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C27A94"/>
    <w:multiLevelType w:val="hybridMultilevel"/>
    <w:tmpl w:val="FB1AC812"/>
    <w:lvl w:ilvl="0" w:tplc="883035C4">
      <w:start w:val="1"/>
      <w:numFmt w:val="bullet"/>
      <w:suff w:val="space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B55E3"/>
    <w:multiLevelType w:val="hybridMultilevel"/>
    <w:tmpl w:val="6DE69A30"/>
    <w:lvl w:ilvl="0" w:tplc="ADCACD30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136D7"/>
    <w:multiLevelType w:val="hybridMultilevel"/>
    <w:tmpl w:val="AF7EE2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3407B"/>
    <w:multiLevelType w:val="multilevel"/>
    <w:tmpl w:val="C9F67FF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7AA1549F"/>
    <w:multiLevelType w:val="hybridMultilevel"/>
    <w:tmpl w:val="A3741056"/>
    <w:lvl w:ilvl="0" w:tplc="FFF049E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2B7BC8"/>
    <w:multiLevelType w:val="hybridMultilevel"/>
    <w:tmpl w:val="AD2266B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D2F2D"/>
    <w:multiLevelType w:val="hybridMultilevel"/>
    <w:tmpl w:val="A5260FC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033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687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6542070">
    <w:abstractNumId w:val="7"/>
  </w:num>
  <w:num w:numId="4" w16cid:durableId="115565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261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7597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89085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30902599">
    <w:abstractNumId w:val="10"/>
  </w:num>
  <w:num w:numId="9" w16cid:durableId="32212877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3100669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05734575">
    <w:abstractNumId w:val="8"/>
  </w:num>
  <w:num w:numId="12" w16cid:durableId="1242522830">
    <w:abstractNumId w:val="11"/>
  </w:num>
  <w:num w:numId="13" w16cid:durableId="1046637475">
    <w:abstractNumId w:val="6"/>
  </w:num>
  <w:num w:numId="14" w16cid:durableId="517548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02"/>
    <w:rsid w:val="0000754A"/>
    <w:rsid w:val="000206DF"/>
    <w:rsid w:val="00023423"/>
    <w:rsid w:val="00037F17"/>
    <w:rsid w:val="00040742"/>
    <w:rsid w:val="0004395B"/>
    <w:rsid w:val="00057E7A"/>
    <w:rsid w:val="00072034"/>
    <w:rsid w:val="00076647"/>
    <w:rsid w:val="00081F67"/>
    <w:rsid w:val="000A0EED"/>
    <w:rsid w:val="000A101B"/>
    <w:rsid w:val="000F3068"/>
    <w:rsid w:val="000F72D6"/>
    <w:rsid w:val="00122F08"/>
    <w:rsid w:val="00142688"/>
    <w:rsid w:val="00162276"/>
    <w:rsid w:val="00163887"/>
    <w:rsid w:val="00172DC7"/>
    <w:rsid w:val="001D52FD"/>
    <w:rsid w:val="001E7160"/>
    <w:rsid w:val="001F36E3"/>
    <w:rsid w:val="001F4AC0"/>
    <w:rsid w:val="00204DC2"/>
    <w:rsid w:val="0022012B"/>
    <w:rsid w:val="002938DE"/>
    <w:rsid w:val="002B6179"/>
    <w:rsid w:val="002E785F"/>
    <w:rsid w:val="003160B2"/>
    <w:rsid w:val="003272EF"/>
    <w:rsid w:val="003322BF"/>
    <w:rsid w:val="00356327"/>
    <w:rsid w:val="0037210A"/>
    <w:rsid w:val="003B4C02"/>
    <w:rsid w:val="003E0C54"/>
    <w:rsid w:val="00412813"/>
    <w:rsid w:val="00414260"/>
    <w:rsid w:val="00420B6C"/>
    <w:rsid w:val="00431CB6"/>
    <w:rsid w:val="004410A9"/>
    <w:rsid w:val="00451738"/>
    <w:rsid w:val="00455E4B"/>
    <w:rsid w:val="00467430"/>
    <w:rsid w:val="00481556"/>
    <w:rsid w:val="00490C78"/>
    <w:rsid w:val="004966E1"/>
    <w:rsid w:val="004A05EE"/>
    <w:rsid w:val="004C5ADB"/>
    <w:rsid w:val="004D6668"/>
    <w:rsid w:val="004D6CFD"/>
    <w:rsid w:val="004F2378"/>
    <w:rsid w:val="00501199"/>
    <w:rsid w:val="0050384D"/>
    <w:rsid w:val="00525170"/>
    <w:rsid w:val="005947DD"/>
    <w:rsid w:val="005B56BF"/>
    <w:rsid w:val="005E5619"/>
    <w:rsid w:val="005F2A96"/>
    <w:rsid w:val="00650E1D"/>
    <w:rsid w:val="00651172"/>
    <w:rsid w:val="006713E0"/>
    <w:rsid w:val="00674C19"/>
    <w:rsid w:val="0068260E"/>
    <w:rsid w:val="006B1C40"/>
    <w:rsid w:val="006B6853"/>
    <w:rsid w:val="006E0AE9"/>
    <w:rsid w:val="006E0BFB"/>
    <w:rsid w:val="006E6435"/>
    <w:rsid w:val="00702B0A"/>
    <w:rsid w:val="0070404E"/>
    <w:rsid w:val="00714497"/>
    <w:rsid w:val="0075297A"/>
    <w:rsid w:val="007567C3"/>
    <w:rsid w:val="007809C0"/>
    <w:rsid w:val="007979B6"/>
    <w:rsid w:val="007A05DD"/>
    <w:rsid w:val="007E1C54"/>
    <w:rsid w:val="007E5E6E"/>
    <w:rsid w:val="00824C3F"/>
    <w:rsid w:val="0083588D"/>
    <w:rsid w:val="00836C45"/>
    <w:rsid w:val="00861DF9"/>
    <w:rsid w:val="00862E7C"/>
    <w:rsid w:val="0086333A"/>
    <w:rsid w:val="00864590"/>
    <w:rsid w:val="00866BE4"/>
    <w:rsid w:val="00867702"/>
    <w:rsid w:val="00876C9C"/>
    <w:rsid w:val="0088388D"/>
    <w:rsid w:val="00883A8F"/>
    <w:rsid w:val="008A18A8"/>
    <w:rsid w:val="008E589B"/>
    <w:rsid w:val="008F0B36"/>
    <w:rsid w:val="0090081B"/>
    <w:rsid w:val="00916228"/>
    <w:rsid w:val="00916458"/>
    <w:rsid w:val="0092538A"/>
    <w:rsid w:val="00935F5D"/>
    <w:rsid w:val="00940B30"/>
    <w:rsid w:val="00941C99"/>
    <w:rsid w:val="00945ED7"/>
    <w:rsid w:val="009466F6"/>
    <w:rsid w:val="00947C6D"/>
    <w:rsid w:val="009627EA"/>
    <w:rsid w:val="00971F2B"/>
    <w:rsid w:val="00977029"/>
    <w:rsid w:val="00984A6A"/>
    <w:rsid w:val="00985FA4"/>
    <w:rsid w:val="009B2F00"/>
    <w:rsid w:val="009C0922"/>
    <w:rsid w:val="009C5811"/>
    <w:rsid w:val="009C5FDF"/>
    <w:rsid w:val="009D3FF2"/>
    <w:rsid w:val="009F2961"/>
    <w:rsid w:val="009F2A63"/>
    <w:rsid w:val="00A33FB7"/>
    <w:rsid w:val="00A34687"/>
    <w:rsid w:val="00A52C9C"/>
    <w:rsid w:val="00A604D2"/>
    <w:rsid w:val="00A62E97"/>
    <w:rsid w:val="00A63E77"/>
    <w:rsid w:val="00A66789"/>
    <w:rsid w:val="00A95076"/>
    <w:rsid w:val="00A9569A"/>
    <w:rsid w:val="00AA7806"/>
    <w:rsid w:val="00B34840"/>
    <w:rsid w:val="00B4140F"/>
    <w:rsid w:val="00B607A6"/>
    <w:rsid w:val="00B831D7"/>
    <w:rsid w:val="00B87905"/>
    <w:rsid w:val="00BA3F18"/>
    <w:rsid w:val="00BD6E49"/>
    <w:rsid w:val="00BE6FD2"/>
    <w:rsid w:val="00C06458"/>
    <w:rsid w:val="00C21B05"/>
    <w:rsid w:val="00C26604"/>
    <w:rsid w:val="00C46AB2"/>
    <w:rsid w:val="00C46C9A"/>
    <w:rsid w:val="00C50B0A"/>
    <w:rsid w:val="00C83D8E"/>
    <w:rsid w:val="00CC1B0E"/>
    <w:rsid w:val="00CD5E83"/>
    <w:rsid w:val="00CE1BEC"/>
    <w:rsid w:val="00CE5F0C"/>
    <w:rsid w:val="00D04DFB"/>
    <w:rsid w:val="00D23510"/>
    <w:rsid w:val="00D30DF6"/>
    <w:rsid w:val="00D332E6"/>
    <w:rsid w:val="00D336B1"/>
    <w:rsid w:val="00D40ABE"/>
    <w:rsid w:val="00D44138"/>
    <w:rsid w:val="00D63705"/>
    <w:rsid w:val="00D77255"/>
    <w:rsid w:val="00D80C48"/>
    <w:rsid w:val="00DB1A02"/>
    <w:rsid w:val="00DC3814"/>
    <w:rsid w:val="00DC3A7B"/>
    <w:rsid w:val="00E02761"/>
    <w:rsid w:val="00E07697"/>
    <w:rsid w:val="00E30B9F"/>
    <w:rsid w:val="00E61139"/>
    <w:rsid w:val="00E61994"/>
    <w:rsid w:val="00E64178"/>
    <w:rsid w:val="00E64348"/>
    <w:rsid w:val="00E66A75"/>
    <w:rsid w:val="00E7247E"/>
    <w:rsid w:val="00E72EE2"/>
    <w:rsid w:val="00E80F74"/>
    <w:rsid w:val="00E82722"/>
    <w:rsid w:val="00ED3E63"/>
    <w:rsid w:val="00EE58A2"/>
    <w:rsid w:val="00EF13D4"/>
    <w:rsid w:val="00F12391"/>
    <w:rsid w:val="00F14FD7"/>
    <w:rsid w:val="00F15AA1"/>
    <w:rsid w:val="00F261D4"/>
    <w:rsid w:val="00F27C74"/>
    <w:rsid w:val="00F3031A"/>
    <w:rsid w:val="00F44743"/>
    <w:rsid w:val="00F50BB5"/>
    <w:rsid w:val="00F56325"/>
    <w:rsid w:val="00F57701"/>
    <w:rsid w:val="00F66406"/>
    <w:rsid w:val="00F92ED7"/>
    <w:rsid w:val="00FB6C66"/>
    <w:rsid w:val="00FC11AF"/>
    <w:rsid w:val="00FD03CA"/>
    <w:rsid w:val="00FD2410"/>
    <w:rsid w:val="00FF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044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701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F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F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F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F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BA3F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3F18"/>
    <w:rPr>
      <w:rFonts w:ascii="HebarU" w:eastAsia="Times New Roman" w:hAnsi="HebarU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A3F18"/>
    <w:pPr>
      <w:ind w:left="720"/>
      <w:contextualSpacing/>
    </w:pPr>
  </w:style>
  <w:style w:type="table" w:styleId="TableGrid">
    <w:name w:val="Table Grid"/>
    <w:basedOn w:val="TableNormal"/>
    <w:uiPriority w:val="59"/>
    <w:rsid w:val="009C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C5811"/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581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5811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9C581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C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C9A"/>
    <w:rPr>
      <w:rFonts w:ascii="HebarU" w:eastAsia="Times New Roman" w:hAnsi="HebarU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37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70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3705"/>
    <w:rPr>
      <w:rFonts w:ascii="HebarU" w:eastAsia="Times New Roman" w:hAnsi="HebarU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7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3705"/>
    <w:rPr>
      <w:rFonts w:ascii="HebarU" w:eastAsia="Times New Roman" w:hAnsi="HebarU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7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705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E1C54"/>
    <w:pPr>
      <w:spacing w:after="0" w:line="240" w:lineRule="auto"/>
    </w:pPr>
    <w:rPr>
      <w:rFonts w:ascii="HebarU" w:eastAsia="Times New Roman" w:hAnsi="HebarU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985FA4"/>
    <w:pPr>
      <w:spacing w:before="100" w:beforeAutospacing="1" w:after="100" w:afterAutospacing="1"/>
    </w:pPr>
    <w:rPr>
      <w:rFonts w:ascii="Times New Roman" w:hAnsi="Times New Roman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8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2023-04-03T08:56:00Z</dcterms:created>
  <dcterms:modified xsi:type="dcterms:W3CDTF">2024-06-03T09:04:00Z</dcterms:modified>
</cp:coreProperties>
</file>